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BayHintG (Bayern) — Vollziehung der Hinterlegung</w:t>
      </w:r>
    </w:p>
    <w:p>
      <w:r>
        <w:rPr>
          <w:color w:val="555555"/>
          <w:sz w:val="18"/>
        </w:rPr>
        <w:t xml:space="preserve">Bayerisches Hinterlegungsgesetz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Hinterlegung wird vollzogen</w:t>
      </w:r>
    </w:p>
    <w:p>
      <w:r>
        <w:t xml:space="preserve">1. bei Geldsummen durch Gutschrift auf einem von der Hinterlegungsstelle bezeichneten Konto oder in Eilfällen durch Bareinzahlung bei der zuständigen Barzahlungs- oder Geldannahmestelle,</w:t>
      </w:r>
    </w:p>
    <w:p>
      <w:r>
        <w:t xml:space="preserve">2. bei Wertpapierguthaben durch Buchung auf einem von der Hinterlegungsstelle bezeichneten Depotkonto,</w:t>
      </w:r>
    </w:p>
    <w:p>
      <w:r>
        <w:t xml:space="preserve">3. bei anderen Gegenständen durch Übergabe an die zuständige Hinterlegungsstelle.</w:t>
      </w:r>
    </w:p>
    <w:p>
      <w:r>
        <w:rPr>
          <w:color w:val="555555"/>
          <w:sz w:val="17"/>
        </w:rPr>
        <w:t xml:space="preserve">Zitiervorschlag: Art 12 BayHintG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https://recht.nulegal.eu/gesetze/BayHintG/12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