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BayHintG (Bayern) — Begründung des Hinterlegungsverhältnisses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Hinterlegungsverhältnis kommt zustande, sobald die Hinterlegungsstelle die Annahme des Gegenstands angeordnet hat und dessen Hinterlegung vollzogen ist.</w:t>
      </w:r>
    </w:p>
    <w:p>
      <w:r>
        <w:t xml:space="preserve">(2) Die Hinterlegungsstelle ordnet die Annahme zur Hinterlegung an</w:t>
      </w:r>
    </w:p>
    <w:p>
      <w:r>
        <w:t xml:space="preserve">1. auf einen Antrag gemäß Art. 11 oder</w:t>
      </w:r>
    </w:p>
    <w:p>
      <w:r>
        <w:t xml:space="preserve">2. auf Ersuchen der zuständigen Behörde oder des zuständigen Gerichts.</w:t>
      </w:r>
    </w:p>
    <w:p>
      <w:r>
        <w:t xml:space="preserve">(3) Die Annahmeanordnung ist den Beteiligten bekannt zu geben.</w:t>
      </w:r>
    </w:p>
    <w:p>
      <w:r>
        <w:t xml:space="preserve">(4) Wird der zu hinterlegende Gegenstand nicht binnen sechs Monaten nach Bekanntgabe der Annahmeanordnung in Hinterlegung genommen, so wird die Annahmeanordnung gegenstandslos. Hierauf ist in der Annahmeanordnung hinzuweisen.</w:t>
      </w:r>
    </w:p>
    <w:p>
      <w:r>
        <w:t xml:space="preserve">(5) Auf die Annahmeanordnung finden Art. 48 und 49 BayVwVfG entsprechende Anwendung. Rücknahme oder Widerruf sind in gleicher Weise bekannt zu geben wie die Annahmeanordnung.</w:t>
      </w:r>
    </w:p>
    <w:p>
      <w:r>
        <w:rPr>
          <w:color w:val="555555"/>
          <w:sz w:val="17"/>
        </w:rPr>
        <w:t xml:space="preserve">Zitiervorschlag: Art 10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