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BayHeilvfV (Bayern) — Kraftfahrzeughilfe</w:t>
      </w:r>
    </w:p>
    <w:p>
      <w:r>
        <w:rPr>
          <w:color w:val="555555"/>
          <w:sz w:val="18"/>
        </w:rPr>
        <w:t xml:space="preserve">Bayerische Heilverfahrensverordnung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Kraftfahrzeughilfe wird gewährt, wenn die verletzte Person infolge des Dienstunfalles nicht nur vorübergehend auf die Benutzung eines Kraftfahrzeugs angewiesen ist, um die erforderlichen Wege im Arbeits- und Alltagsleben zurückzulegen und die Pensionsbehörde vor der Entstehung der Aufwendungen die Kraftfahrzeughilfe zugesagt hat. § 40 Abs. 2, 3 und 5 des Siebten Buches Sozialgesetzbuch gilt mit der Maßgabe entsprechend, dass die §§ 6 und 8 der Kraftfahrzeughilfe-Verordnung keine Anwendung finden.</w:t>
      </w:r>
    </w:p>
    <w:p>
      <w:r>
        <w:rPr>
          <w:color w:val="555555"/>
          <w:sz w:val="17"/>
        </w:rPr>
        <w:t xml:space="preserve">Zitiervorschlag: § 8 BayHeilvfV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https://recht.nulegal.eu/gesetze/BayHeilvfV/8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