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BayHeilvfV (Bayern) — Durchführungsbestimmungen; Ausnahmen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der Finanzen und für Heimat erlässt die zur Durchführung dieser Verordnung erforderlichen Verwaltungsvorschriften.</w:t>
      </w:r>
    </w:p>
    <w:p>
      <w:r>
        <w:t xml:space="preserve">(2) Die oberste Dienstbehörde, im staatlichen Bereich das Staatsministerium der Finanzen und für Heimat, kann in besonders begründeten Ausnahmefällen zur Vermeidung besonderer Härtefälle über diese Verordnung hinaus eine weitergehende Kostenerstattung zulassen.</w:t>
      </w:r>
    </w:p>
    <w:p>
      <w:r>
        <w:rPr>
          <w:color w:val="555555"/>
          <w:sz w:val="17"/>
        </w:rPr>
        <w:t xml:space="preserve">Zitiervorschlag: § 15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