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BayHeilvfV (Bayern) — Fahrtkosten</w:t>
      </w:r>
    </w:p>
    <w:p>
      <w:r>
        <w:rPr>
          <w:color w:val="555555"/>
          <w:sz w:val="18"/>
        </w:rPr>
        <w:t xml:space="preserve">Bayerische Heilverfahrensverordnung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Fahrtkosten werden außer in den in § 26 Satz 1 BayBhV genannten Fällen auch erstattet für</w:t>
      </w:r>
    </w:p>
    <w:p>
      <w:r>
        <w:t xml:space="preserve">1. Fahrten zu ambulanten Behandlungen,</w:t>
      </w:r>
    </w:p>
    <w:p>
      <w:r>
        <w:t xml:space="preserve">2. Begleitpersonen, wenn die Begleitung der Verletzten nach ärztlichem Gutachten erforderlich war,</w:t>
      </w:r>
    </w:p>
    <w:p>
      <w:r>
        <w:t xml:space="preserve">3. Besuchsfahrten von Ehegatten, Kindern und Eltern der Verletzten bei einer Krankenhausbehandlung, wenn und soweit die Besuchsfahrt nach Befürwortung durch einen in § 2 bezeichneten Arzt zur Sicherung des Heilerfolgs dringend erforderlich war.</w:t>
      </w:r>
    </w:p>
    <w:p>
      <w:r>
        <w:t xml:space="preserve">Für die Erstattung von Fahrtkosten finden Art. 5 und 6 Abs. 6 BayRKG entsprechende Anwendung.</w:t>
      </w:r>
    </w:p>
    <w:p>
      <w:r>
        <w:rPr>
          <w:color w:val="555555"/>
          <w:sz w:val="17"/>
        </w:rPr>
        <w:t xml:space="preserve">Zitiervorschlag: § 14 BayHeilvfV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https://recht.nulegal.eu/gesetze/BayHeilvfV/14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