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BayHeilvfV (Bayern) — Kleidungs- und Wäscheverschleiß</w:t>
      </w:r>
    </w:p>
    <w:p>
      <w:r>
        <w:rPr>
          <w:color w:val="555555"/>
          <w:sz w:val="18"/>
        </w:rPr>
        <w:t xml:space="preserve">Bayerische Heilverfahrensverordnung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durch die Folgen des Dienstunfalls verursachten außergewöhnlichen Kosten für Kleider- und Wäscheverschleiß (Art. 50 Abs. 3 BayBeamtVG) sind unter entsprechender Anwendung des § 46 Abs. 1 Satz 1 Nr. 2 des Vierzehnten Buches Sozialgesetzbuch zu ersetzen.</w:t>
      </w:r>
    </w:p>
    <w:p>
      <w:r>
        <w:t xml:space="preserve">(2) Der Pauschbetrag wird monatlich im Voraus gezahlt. Die in Sonderfällen den Höchstsatz des Pauschbetrags übersteigenden Aufwendungen werden jeweils für das abgelaufene Kalenderjahr erstattet.</w:t>
      </w:r>
    </w:p>
    <w:p>
      <w:r>
        <w:rPr>
          <w:color w:val="555555"/>
          <w:sz w:val="17"/>
        </w:rPr>
        <w:t xml:space="preserve">Zitiervorschlag: § 13 BayHeilvfV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https://recht.nulegal.eu/gesetze/BayHeilvfV/13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