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BayHebBO (Bayern)</w:t>
      </w:r>
    </w:p>
    <w:p>
      <w:r>
        <w:rPr>
          <w:color w:val="555555"/>
          <w:sz w:val="18"/>
        </w:rPr>
        <w:t xml:space="preserve">Bayerische Hebammenberufsordnung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34 Abs. 2 Satz 1 Nr. 1 des Gesetzes über den öffentlichen Gesundheits- und Veterinärdienst, die Ernährung und den Verbraucherschutz sowie die Lebensmittelüberwachung (Gesundheitsdienst- und Verbraucherschutzgesetz – GDVG) vom 24. Juli 2003 (GVBl S. 452, BayRS 2120-1-UG), zuletzt geändert durch Art. 9 des Gesetzes vom 7. Mai 2013 (GVBl S. 246), erlässt das Bayerische Staatsministerium für Umwelt und Gesundheit folgende Verordnung:</w:t>
      </w:r>
    </w:p>
    <w:p>
      <w:r>
        <w:rPr>
          <w:color w:val="555555"/>
          <w:sz w:val="17"/>
        </w:rPr>
        <w:t xml:space="preserve">Zitiervorschlag: Eingangsformel BayHebBO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https://recht.nulegal.eu/gesetze/BayHebBO/eingangsformel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