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10 BayHebBO (Bayern) — Inkrafttreten, Außerkrafttreten</w:t>
      </w:r>
    </w:p>
    <w:p>
      <w:r>
        <w:rPr>
          <w:color w:val="555555"/>
          <w:sz w:val="18"/>
        </w:rPr>
        <w:t xml:space="preserve">Bayerische Hebammenberufsordnung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(1) Diese Verordnung tritt am 1. Juli 2013 in Kraft.</w:t>
      </w:r>
    </w:p>
    <w:p>
      <w:r>
        <w:t xml:space="preserve">(2) Mit Ablauf des 30. Juni 2013 tritt die Berufsordnung für Hebammen und Entbindungspfleger (HebBO) vom 19. Mai 1988 (GVBl S. 132, BayRS 2124-1-2-A), zuletzt geändert durch Verordnung vom 12. April 1999 (GVBl S. 148), außer Kraft.</w:t>
      </w:r>
    </w:p>
    <w:p>
      <w:r>
        <w:rPr>
          <w:color w:val="555555"/>
          <w:sz w:val="17"/>
        </w:rPr>
        <w:t xml:space="preserve">Zitiervorschlag: § 10 BayHebBO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https://recht.nulegal.eu/gesetze/BayHebBO/10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