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BayHaKaAbV (Bayern)</w:t>
      </w:r>
    </w:p>
    <w:p>
      <w:r>
        <w:rPr>
          <w:color w:val="555555"/>
          <w:sz w:val="18"/>
        </w:rPr>
        <w:t xml:space="preserve">Verordnung über die Abgrenzung der Bezirke der Handwerkskammern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90 Abs. 3 der Handwerksordnung in Verbindung mit § 1 des Gesetzes über Ermächtigungen zum Erlaß von Rechtsverordnungen vom 3. Juli 1961 (BGBl. I S. 856) und § 1 Abs. 1 Satz 1 der Verordnung über die Zuständigkeit zum Erlaß von Rechtsverordnungen erläßt das Bayerische Staatsministerium für Wirtschaft und Verkehr folgende Verordnung:</w:t>
      </w:r>
    </w:p>
    <w:p>
      <w:r>
        <w:rPr>
          <w:color w:val="555555"/>
          <w:sz w:val="17"/>
        </w:rPr>
        <w:t xml:space="preserve">Zitiervorschlag: Eingangsformel BayHaKaAbV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https://recht.nulegal.eu/gesetze/BayHaKaAbV/eingangsformel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