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BayHaKaAbV (Bayern)</w:t>
      </w:r>
    </w:p>
    <w:p>
      <w:r>
        <w:rPr>
          <w:color w:val="555555"/>
          <w:sz w:val="18"/>
        </w:rPr>
        <w:t xml:space="preserve">Verordnung über die Abgrenzung der Bezirke der Handwerkskammern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1978 in Kraft.</w:t>
      </w:r>
    </w:p>
    <w:p>
      <w:r>
        <w:t xml:space="preserve">(2) (gegenstandslos)</w:t>
      </w:r>
    </w:p>
    <w:p>
      <w:r>
        <w:t xml:space="preserve">[Amtl. Anm.:] Betrifft die ursprüngliche Fassung vom 31. Mai 1977 (GVBl. S. 323)</w:t>
      </w:r>
    </w:p>
    <w:p>
      <w:r>
        <w:rPr>
          <w:color w:val="555555"/>
          <w:sz w:val="17"/>
        </w:rPr>
        <w:t xml:space="preserve">Zitiervorschlag: § 2 BayHaKaAbV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https://recht.nulegal.eu/gesetze/BayHaKaAbV/2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