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BayHaKaAbV (Bayern)</w:t>
      </w:r>
    </w:p>
    <w:p>
      <w:r>
        <w:rPr>
          <w:color w:val="555555"/>
          <w:sz w:val="18"/>
        </w:rPr>
        <w:t xml:space="preserve">Verordnung über die Abgrenzung der Bezirke der Handwerkskammern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Bezirke der Handwerkskammern sind die Regierungsbezirke in ihrer jeweiligen Abgrenzung.</w:t>
      </w:r>
    </w:p>
    <w:p>
      <w:r>
        <w:t xml:space="preserve">(2) Abweichend von Abs. 1 umfasst der Bezirk der Handwerkskammer Niederbayern-Oberpfalz die Regierungsbezirke Niederbayern und Oberpfalz in ihren jeweiligen Abgrenzungen.</w:t>
      </w:r>
    </w:p>
    <w:p>
      <w:r>
        <w:rPr>
          <w:color w:val="555555"/>
          <w:sz w:val="17"/>
        </w:rPr>
        <w:t xml:space="preserve">Zitiervorschlag: § 1 BayHaKaAbV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https://recht.nulegal.eu/gesetze/BayHaKaAbV/1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