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BayHSchLNV (Bayern)</w:t>
      </w:r>
    </w:p>
    <w:p>
      <w:r>
        <w:rPr>
          <w:color w:val="555555"/>
          <w:sz w:val="18"/>
        </w:rPr>
        <w:t xml:space="preserve">Bayerische Hochschullehrernebentätigkeitsverordnung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8 des Bayerischen Hochschullehrergesetzes (BayHSchLG) in Verbindung mit Art. 77 Abs. 1 des Bayerischen Beamtengesetzes (BayBG) sowie Art. 1 Abs. 1 Satz 1 des Gesetzes zur Überleitung von Zuständigkeiten auf das Staatsministerium für Unterricht, Kultus, Wissenschaft und Kunst vom 13. Dezember 1990 (GVBl. S. 510, BayRS 1102-5-S) erläßt das Bayerische Staatsministerium für Unterricht, Kultus, Wissenschaft und Kunst im Einvernehmen mit dem Bayerischen Staatsministerium der Finanzen folgende Verordnung:</w:t>
      </w:r>
    </w:p>
    <w:p>
      <w:r>
        <w:rPr>
          <w:color w:val="555555"/>
          <w:sz w:val="17"/>
        </w:rPr>
        <w:t xml:space="preserve">Zitiervorschlag: Eingangsformel BayHSchLNV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https://recht.nulegal.eu/gesetze/BayHSchLNV/eingangsformel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