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BayHSchLNV (Bayern) — Inkrafttreten, Außerkrafttreten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1992 in Kraft.</w:t>
      </w:r>
    </w:p>
    <w:p>
      <w:r>
        <w:t xml:space="preserve">(2) Abweichend von Absatz 1 treten jedoch § 4, § 17 Abs. 4 sowie §§ 22 bis 27 am 1. Januar 1993 in Kraft.</w:t>
      </w:r>
    </w:p>
    <w:p>
      <w:r>
        <w:rPr>
          <w:color w:val="555555"/>
          <w:sz w:val="17"/>
        </w:rPr>
        <w:t xml:space="preserve">Zitiervorschlag: § 31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