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BayHSchLNV (Bayern) — Erlaß von Verwaltungsvorschriften</w:t>
      </w:r>
    </w:p>
    <w:p>
      <w:r>
        <w:rPr>
          <w:color w:val="555555"/>
          <w:sz w:val="18"/>
        </w:rPr>
        <w:t xml:space="preserve">Bayerische Hochschullehrernebentätigkeitsverordnung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zur Durchführung dieser Verordnung erforderlichen allgemeinen Verwaltungsvorschriften erläßt das Staatsministerium im Einvernehmen mit dem Staatsministerium der Finanzen und für Heimat.</w:t>
      </w:r>
    </w:p>
    <w:p>
      <w:r>
        <w:rPr>
          <w:color w:val="555555"/>
          <w:sz w:val="17"/>
        </w:rPr>
        <w:t xml:space="preserve">Zitiervorschlag: § 30 BayHSchLNV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https://recht.nulegal.eu/gesetze/BayHSchLNV/30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