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BayHSchLNV (Bayern) — Ausnahmen von §§ 16 und 17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16 Abs. 1 und 3 und § 17 sind nicht anzuwenden auf Vergütungen für</w:t>
      </w:r>
    </w:p>
    <w:p>
      <w:r>
        <w:t xml:space="preserve">1. eine Lehr- oder Unterrichtstätigkeit,</w:t>
      </w:r>
    </w:p>
    <w:p>
      <w:r>
        <w:t xml:space="preserve">2. eine Mitwirkung bei Prüfungen,</w:t>
      </w:r>
    </w:p>
    <w:p>
      <w:r>
        <w:t xml:space="preserve">3. eine schriftstellerische, wissenschaftliche oder künstlerische Tätigkeit oder eine Vortragstätigkeit,</w:t>
      </w:r>
    </w:p>
    <w:p>
      <w:r>
        <w:t xml:space="preserve">4. Tätigkeiten auf dem Gebiet der anwendungsbezogenen oder wissenschaftlichen Forschung,</w:t>
      </w:r>
    </w:p>
    <w:p>
      <w:r>
        <w:t xml:space="preserve">5. eine mit Lehr- oder Forschungsaufgaben zusammenhängende selbständige Gutachtertätigkeit gemäß § 7,</w:t>
      </w:r>
    </w:p>
    <w:p>
      <w:r>
        <w:t xml:space="preserve">6. Tätigkeiten als gerichtlicher oder staatsanwaltschaftlicher Sachverständiger,</w:t>
      </w:r>
    </w:p>
    <w:p>
      <w:r>
        <w:t xml:space="preserve">7. Gutachtertätigkeiten von Ärzten, Zahnärzten oder Tierärzten für Versicherungsträger oder für andere juristische Personen des öffentlichen Rechts,</w:t>
      </w:r>
    </w:p>
    <w:p>
      <w:r>
        <w:t xml:space="preserve">8. ärztliche, zahnärztliche oder tierärztliche Verrichtungen der in Nummer 7 genannten Personen, für die nach den Gebührenordnungen Gebühren zu zahlen sind,</w:t>
      </w:r>
    </w:p>
    <w:p>
      <w:r>
        <w:t xml:space="preserve">9. Arbeitnehmererfindungen,</w:t>
      </w:r>
    </w:p>
    <w:p>
      <w:r>
        <w:t xml:space="preserve">10. Tätigkeiten, die ausschließlich während eines unter Fortfall der Dienstbezüge gewährten Urlaubs von mehr als drei Monaten oder in besonderen Ausnahmefällen von mehr als einem Monat ausgeübt werden,</w:t>
      </w:r>
    </w:p>
    <w:p>
      <w:r>
        <w:t xml:space="preserve">11. Tätigkeiten, die zur Aufrechterhaltung des Dienstbetriebs oder im öffentlichen Interesse notwendig sind, soweit das Staatsministerium eine Ausnahme von der Ablieferungspflicht für erforderlich hält,</w:t>
      </w:r>
    </w:p>
    <w:p>
      <w:r>
        <w:t xml:space="preserve">12. die vertretungsweise Wahrnehmung der Planstelle eines wissenschaftlichen oder künstlerischen Beamten an einer Hochschule,</w:t>
      </w:r>
    </w:p>
    <w:p>
      <w:r>
        <w:t xml:space="preserve">13. die Tätigkeit als Professor gemäß Art. 18 Abs. 8 Satz 1 BayHSchPG,</w:t>
      </w:r>
    </w:p>
    <w:p>
      <w:r>
        <w:t xml:space="preserve">14. Tätigkeiten im Vollzug staatlicher Programme und in staatlich geförderten Einrichtungen, die der Innovationsförderung oder dem Technologietransfer dienen,</w:t>
      </w:r>
    </w:p>
    <w:p>
      <w:r>
        <w:t xml:space="preserve">15. Tätigkeiten als Rechtsvertreter vor Gericht auf Grund eines Auftrags einer Körperschaft des öffentlichen Rechts.</w:t>
      </w:r>
    </w:p>
    <w:p>
      <w:r>
        <w:t xml:space="preserve">(2) §§ 24 und 25 bleiben unberührt.</w:t>
      </w:r>
    </w:p>
    <w:p>
      <w:r>
        <w:rPr>
          <w:color w:val="555555"/>
          <w:sz w:val="17"/>
        </w:rPr>
        <w:t xml:space="preserve">Zitiervorschlag: § 18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