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BayHSchLNV (Bayern) — Allgemeine Genehmigung von Nebentätigkeiten für Professoren und Juniorprofessoren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Neben den in § 11 Abs. 1 und 2 aufgeführten Nebentätigkeiten gilt für Professoren und Juniorprofessoren außerdem die Genehmigung für folgende Nebentätigkeiten als allgemein erteilt, soweit diese das in § 9 Abs. 1 festgelegte Ausmaß nicht überschreiten:</w:t>
      </w:r>
    </w:p>
    <w:p>
      <w:r>
        <w:t xml:space="preserve">1. das Auftreten als Verteidiger vor Gerichten und als Bevollmächtigter vor dem Bundesverfassungsgericht und dem Bayerischen Verfassungsgerichtshof sowie vor den Gerichten der Verwaltungs- und Sozialgerichtsbarkeit, soweit es sich um Rechtslehrer an den staatlichen Hochschulen handelt oder diese dort ein rechtswissenschaftliches Fachgebiet selbständig vertreten,</w:t>
      </w:r>
    </w:p>
    <w:p>
      <w:r>
        <w:t xml:space="preserve">2. das Auftreten als Bevollmächtigter, Beistand sowie Vertreter vor dem Gerichtshof der Europäischen Gemeinschaften, dem Gericht erster Instanz der Europäischen Gemeinschaften und dem Europäischen Gerichtshof für Menschenrechte nach Maßgabe deren Satzungs- und Verfahrensrechts, soweit die Voraussetzungen der Nr. 1 vorliegen,</w:t>
      </w:r>
    </w:p>
    <w:p>
      <w:r>
        <w:t xml:space="preserve">3. Erbringung außergerichtlicher Rechtsdienstleistungen nach § 5 des Rechtsdienstleistungsgesetzes, soweit diese Dienstleistung im Zusammenhang mit einer Tätigkeit nach Nrn. 1 und 2 steht,</w:t>
      </w:r>
    </w:p>
    <w:p>
      <w:r>
        <w:t xml:space="preserve">4. die Herausgabe und Schriftleitung von wissenschaftlichen Druckerzeugnissen,</w:t>
      </w:r>
    </w:p>
    <w:p>
      <w:r>
        <w:t xml:space="preserve">5. die Erstattung von Gutachten, bei denen zwar die Voraussetzung des § 7 Satz 1 Nr. 2 nicht vorliegt, die jedoch unter persönlicher Anleitung und Aufsicht von einem wissenschaftlichen Mitarbeiter erstellt werden.</w:t>
      </w:r>
    </w:p>
    <w:p>
      <w:r>
        <w:t xml:space="preserve">(2) § 11 Abs. 3 bis 6 gelten entsprechend.</w:t>
      </w:r>
    </w:p>
    <w:p>
      <w:r>
        <w:rPr>
          <w:color w:val="555555"/>
          <w:sz w:val="17"/>
        </w:rPr>
        <w:t xml:space="preserve">Zitiervorschlag: § 12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