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BayHSchLNV (Bayern) — Geltungsbereich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</w:t>
      </w:r>
    </w:p>
    <w:p>
      <w:r>
        <w:t xml:space="preserve">1. das hauptberufliche wissenschaftliche und künstlerische Personal (Art. 2 Abs. 1 BayHSchPG) im Beamtenverhältnis an den staatlichen Hochschulen und an den Hochschulen im Sinn des Art. 1 Abs. 3 BayHSchPG,</w:t>
      </w:r>
    </w:p>
    <w:p>
      <w:r>
        <w:t xml:space="preserve">2. das im Beamtenverhältnis stehende Hochschulpersonal im Sinn von Art. 35 Abs. 1 und Art. 38 Satz 1 BayHSchPG, soweit nicht allgemein geltende dienstrechtliche Vorschriften entgegenstehen,</w:t>
      </w:r>
    </w:p>
    <w:p>
      <w:r>
        <w:t xml:space="preserve">3. Ruhestandsbeamte, die vor Beendigung des Beamtenverhältnisses zum Personenkreis der Nr. 1 oder 2 gehörten, hinsichtlich der Nebentätigkeiten, die sie vor Beendigung des Beamtenverhältnisses ausübten.</w:t>
      </w:r>
    </w:p>
    <w:p>
      <w:r>
        <w:t xml:space="preserve">Auf beamtetes nichtwissenschaftliches Personal finden § 5 und auf entpflichtete Hochschullehrer der Erste, Dritte, Vierte und Fünfte Abschnitt Anwendung.</w:t>
      </w:r>
    </w:p>
    <w:p>
      <w:r>
        <w:rPr>
          <w:color w:val="555555"/>
          <w:sz w:val="17"/>
        </w:rPr>
        <w:t xml:space="preserve">Zitiervorschlag: § 1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