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BayHO (Bayern) — Auskunftspflicht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Unterlagen, die der Oberste Rechnungshof zur Erfüllung seiner Aufgaben für erforderlich hält, sind ihm auf Verlangen innerhalb einer bestimmten Frist zu übersenden oder seinen Beauftragten vorzulegen.</w:t>
      </w:r>
    </w:p>
    <w:p>
      <w:r>
        <w:t xml:space="preserve">(2) Dem Obersten Rechnungshof und seinen Beauftragten sind die erbetenen Auskünfte zu erteilen.</w:t>
      </w:r>
    </w:p>
    <w:p>
      <w:r>
        <w:t xml:space="preserve">(3) Die Auskunftspflicht nach den Absätzen 1 und 2 besteht auch, soweit hierfür in anderen Bestimmungen eine besondere Rechtsvorschrift gefordert wird, und umfaßt auch elektronisch gespeicherte Daten sowie deren automatisierten Abruf.</w:t>
      </w:r>
    </w:p>
    <w:p>
      <w:r>
        <w:rPr>
          <w:color w:val="555555"/>
          <w:sz w:val="17"/>
        </w:rPr>
        <w:t xml:space="preserve">Zitiervorschlag: Art 95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