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BayHO (Bayern) — Grundsatz der Gesamtdeckung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Einnahmen dienen als Deckungsmittel für alle Ausgaben. Auf die Verwendung für bestimmte Zwecke dürfen Einnahmen nur beschränkt werden, soweit</w:t>
      </w:r>
    </w:p>
    <w:p>
      <w:r>
        <w:t xml:space="preserve">1. dies durch Gesetz vorgeschrieben ist oder die Mittel dem Staat zweckgebunden zur Verfügung gestellt werden (zweckgebundene Einnahmen) oder</w:t>
      </w:r>
    </w:p>
    <w:p>
      <w:r>
        <w:t xml:space="preserve">2. Ausnahmen im Haushaltsplan zugelassen worden sind.</w:t>
      </w:r>
    </w:p>
    <w:p>
      <w:r>
        <w:rPr>
          <w:color w:val="555555"/>
          <w:sz w:val="17"/>
        </w:rPr>
        <w:t xml:space="preserve">Zitiervorschlag: Art 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