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BayHO (Bayern) — Buchführung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Zahlungen ist nach der im Haushaltsplan oder sonst vorgesehenen Ordnung in zeitlicher Folge Buch zu führen.</w:t>
      </w:r>
    </w:p>
    <w:p>
      <w:r>
        <w:t xml:space="preserve">(2) Das für Finanzen zuständige Staatsministerium kann Bestimmungen über den Nachweis der eingegangenen Verpflichtungen, der Geldforderungen und anderer Bewirtschaftungsvorgänge treffen oder die Buchführung hierfür anordnen.</w:t>
      </w:r>
    </w:p>
    <w:p>
      <w:r>
        <w:t xml:space="preserve">(3) Einnahmen und Ausgaben auf Einnahme- oder Ausgabereste (Haushaltsreste) aus Vorjahren,</w:t>
      </w:r>
    </w:p>
    <w:p>
      <w:r>
        <w:t xml:space="preserve">1. für die im Haushaltsplan des laufenden Haushaltsjahres wiederum ein Titel vorgesehen ist, sind bei diesem zu buchen,</w:t>
      </w:r>
    </w:p>
    <w:p>
      <w:r>
        <w:t xml:space="preserve">2. für die im Haushaltsplan des laufenden Haushaltsjahres kein Titel vorgesehen ist, sind an der Stelle zu buchen, an der sie im Fall der Veranschlagung im Haushaltsplan vorzusehen gewesen wären.</w:t>
      </w:r>
    </w:p>
    <w:p>
      <w:r>
        <w:t xml:space="preserve">(4) Absatz 3 Nr. 2 gilt entsprechend für außerplanmäßige Einnahmen und Ausgaben.</w:t>
      </w:r>
    </w:p>
    <w:p>
      <w:r>
        <w:rPr>
          <w:color w:val="555555"/>
          <w:sz w:val="17"/>
        </w:rPr>
        <w:t xml:space="preserve">Zitiervorschlag: Art 71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