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BayHO (Bayern) — Vorläufige und endgültige Haushalts- und Wirtschaftsführung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der Haushaltsplan nicht rechtzeitig verabschiedet, so führt die Staatsregierung den Haushalt zunächst nach dem Haushaltsplan des Vorjahres weiter.</w:t>
      </w:r>
    </w:p>
    <w:p>
      <w:r>
        <w:t xml:space="preserve">(2) Die Verwaltungsvorschriften zur vorläufigen und endgültigen Haushalts- und Wirtschaftsführung sowie die allgemeinen Verwaltungsvorschriften zu diesem Gesetz erläßt das für Finanzen zuständige Staatsministerium.</w:t>
      </w:r>
    </w:p>
    <w:p>
      <w:r>
        <w:rPr>
          <w:color w:val="555555"/>
          <w:sz w:val="17"/>
        </w:rPr>
        <w:t xml:space="preserve">Zitiervorschlag: Art 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