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BayHO (Bayern) — Bruttonachweis, Einzelnachweis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Einnahmen und Ausgaben sind mit ihrem vollen Betrag bei dem hierfür vorgesehenen Titel zu buchen, soweit sich aus Art. 15 Satz 2 nichts anderes ergibt.</w:t>
      </w:r>
    </w:p>
    <w:p>
      <w:r>
        <w:t xml:space="preserve">(2) Für denselben Zweck dürfen Ausgaben aus verschiedenen Titeln nur geleistet werden, soweit der Haushaltsplan dies zuläßt. Entsprechendes gilt für die Inanspruchnahme von Verpflichtungsermächtigungen.</w:t>
      </w:r>
    </w:p>
    <w:p>
      <w:r>
        <w:rPr>
          <w:color w:val="555555"/>
          <w:sz w:val="17"/>
        </w:rPr>
        <w:t xml:space="preserve">Zitiervorschlag: Art 35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