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BayHO (Bayern) — Wirkungen des Haushaltsplans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Haushaltsplan ermächtigt die Verwaltung, Ausgaben zu leisten und Verpflichtungen einzugehen.</w:t>
      </w:r>
    </w:p>
    <w:p>
      <w:r>
        <w:t xml:space="preserve">(2) Durch den Haushaltsplan werden Ansprüche oder Verbindlichkeiten weder begründet noch aufgehoben.</w:t>
      </w:r>
    </w:p>
    <w:p>
      <w:r>
        <w:t xml:space="preserve">(3) Die im Haushaltsplan veranschlagten Einnahmen werden nach Maßgabe der entsprechenden Rechtsgrundlagen erhoben.</w:t>
      </w:r>
    </w:p>
    <w:p>
      <w:r>
        <w:rPr>
          <w:color w:val="555555"/>
          <w:sz w:val="17"/>
        </w:rPr>
        <w:t xml:space="preserve">Zitiervorschlag: Art 3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