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BayHO (Bayern) — Beschluß über den Entwurf des Haushaltsplans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Entwurf des Haushaltsgesetzes wird mit dem Entwurf des Haushaltsplans von der Staatsregierung beschlossen.</w:t>
      </w:r>
    </w:p>
    <w:p>
      <w:r>
        <w:t xml:space="preserve">(2) Einnahmen, Ausgaben, Verpflichtungsermächtigungen und Vermerke, die das für Finanzen zuständige Staatsministerium in den Entwurf des Haushaltsplans nicht aufgenommen hat, unterliegen auf Antrag des zuständigen Staatsministers der Beschlußfassung der Staatsregierung, wenn es sich um Angelegenheiten von grundsätzlicher oder erheblicher finanzieller Bedeutung handelt. Dasselbe gilt für Vorschriften des Entwurfs des Haushaltsgesetzes. Art. 28 Abs. 2 Satz 2 gilt entsprechend.</w:t>
      </w:r>
    </w:p>
    <w:p>
      <w:r>
        <w:t xml:space="preserve">(3) Weicht der von der Staatsregierung beschlossene Entwurf des Haushaltsplans von den Voranschlägen der Präsidenten des Landtags und des Obersten Rechnungshofs ab und ist der Änderung nicht zugestimmt worden, so sind die Teile besonders kenntlich zu machen, über die kein Einvernehmen erzielt worden ist. Die Voranschläge der Präsidenten des Landtags und des Obersten Rechnungshofs sind unverändert dem Entwurf des Staatshaushalts beizufügen.</w:t>
      </w:r>
    </w:p>
    <w:p>
      <w:r>
        <w:rPr>
          <w:color w:val="555555"/>
          <w:sz w:val="17"/>
        </w:rPr>
        <w:t xml:space="preserve">Zitiervorschlag: Art 29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