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BayHO (Bayern) — Deckungsfähigkeit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Durch Haushaltsgesetz können Personalausgaben, insbesondere soweit eine Stellenbindung besteht, für gegenseitig oder einseitig deckungsfähig erklärt werden.</w:t>
      </w:r>
    </w:p>
    <w:p>
      <w:r>
        <w:t xml:space="preserve">(2) Darüber hinaus können Ausgaben und Verpflichtungsermächtigungen jeweils für gegenseitig oder einseitig deckungsfähig erklärt werden, wenn ein verwaltungsmäßiger oder sachlicher Zusammenhang besteht oder eine wirtschaftliche und sparsame Verwendung gefördert wird.</w:t>
      </w:r>
    </w:p>
    <w:p>
      <w:r>
        <w:t xml:space="preserve">(3) Ausgaben und Verpflichtungsermächtigungen, die ohne nähere Angabe des Verwendungszwecks veranschlagt sind, dürfen nicht für deckungsfähig erklärt werden.</w:t>
      </w:r>
    </w:p>
    <w:p>
      <w:r>
        <w:rPr>
          <w:color w:val="555555"/>
          <w:sz w:val="17"/>
        </w:rPr>
        <w:t xml:space="preserve">Zitiervorschlag: Art 20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