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BayHO (Bayern) — Kreditermächtigungen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Haushaltsplan soll regelmäßig ohne Einnahmen aus Krediten ausgeglichen werden. Die Verschuldung am Kreditmarkt ist fortlaufend abzubauen; die konjunkturelle Entwicklung ist dabei zu berücksichtigen.</w:t>
      </w:r>
    </w:p>
    <w:p>
      <w:r>
        <w:t xml:space="preserve">(2) Art. 82 Abs. 3 der Verfassung bleibt unberührt.</w:t>
      </w:r>
    </w:p>
    <w:p>
      <w:r>
        <w:t xml:space="preserve">(3) Das Haushaltsgesetz bestimmt, bis zu welcher Höhe das für Finanzen zuständige Staatsministerium Kredite aufnehmen darf:</w:t>
      </w:r>
    </w:p>
    <w:p>
      <w:r>
        <w:t xml:space="preserve">1. zur Deckung von Ausgaben unter den Voraussetzungen des Absatzes 2,</w:t>
      </w:r>
    </w:p>
    <w:p>
      <w:r>
        <w:t xml:space="preserve">2. zur Aufrechterhaltung einer ordnungsmäßigen Kassenwirtschaft (Kassenverstärkungskredite); soweit diese Kredite zurückgezahlt sind, kann die Ermächtigung wiederholt in Anspruch genommen werden; Kassenverstärkungskredite dürfen nicht später als sechs Monate nach Ablauf des Haushaltsjahres, für das sie aufgenommen worden sind, fällig werden,</w:t>
      </w:r>
    </w:p>
    <w:p>
      <w:r>
        <w:t xml:space="preserve">3. zur Anschluss- oder Umfinanzierung bestehender Kredite am Kreditmarkt.</w:t>
      </w:r>
    </w:p>
    <w:p>
      <w:r>
        <w:t xml:space="preserve">(4) Die Ermächtigungen nach Absatz 3 Nrn. 1 und 3 gelten bis zum Ende des nächsten Haushaltsjahres und, wenn das Haushaltsgesetz für das zweitnächste Haushaltsjahr nicht rechtzeitig verkündet wird, bis zur Verkündung dieses Haushaltsgesetzes. Die Ermächtigungen nach Absatz 3 Nr. 2 gelten bis zum Ende des laufenden Haushaltsjahres und, wenn das Haushaltsgesetz für das nächste Haushaltsjahr nicht rechtzeitig verkündet wird, bis zur Verkündung dieses Haushaltsgesetzes. Eine nach Art. 82 Abs. 3 Satz 2 der Verfassung bestimmte Tilgungsregelung gilt bis zum Ende des angemessenen Zeitraumes zur Rückführung der gemäß Abs. 3 Nr. 1 aufgenommenen Kredite.</w:t>
      </w:r>
    </w:p>
    <w:p>
      <w:r>
        <w:rPr>
          <w:color w:val="555555"/>
          <w:sz w:val="17"/>
        </w:rPr>
        <w:t xml:space="preserve">Zitiervorschlag: Art 18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