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BayHO (Bayern) — Inkrafttreten, Außerkrafttreten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1972 in Kraft.</w:t>
      </w:r>
    </w:p>
    <w:p>
      <w:r>
        <w:t xml:space="preserve">(2) Art. 44a tritt mit Ablauf des 30. Juni 2030 außer Kraft.</w:t>
      </w:r>
    </w:p>
    <w:p>
      <w:r>
        <w:t xml:space="preserve">[Amtl. Anm.:] Betrifft die ursprüngliche Fassung vom 8. Dezember 1971 (GVBl. S. 433)</w:t>
      </w:r>
    </w:p>
    <w:p>
      <w:r>
        <w:rPr>
          <w:color w:val="555555"/>
          <w:sz w:val="17"/>
        </w:rPr>
        <w:t xml:space="preserve">Zitiervorschlag: Art 117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