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113 BayHO (Bayern) — Grundsatz, Grundstock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Sondervermögen des Staates sind die Teile I bis IV, VIII und IX dieses Gesetzes entsprechend anzuwenden, soweit nicht durch Gesetz oder auf Grund eines Gesetzes etwas anderes bestimmt ist. Der Oberste Rechnungshof prüft die Haushalts- und Wirtschaftsführung der Sondervermögen; Teil V dieses Gesetzes ist anzuwenden.</w:t>
      </w:r>
    </w:p>
    <w:p>
      <w:r>
        <w:t xml:space="preserve">(2) Der in Geld bestehende Teil des Grundstockvermögens (Grundstock) ist ein Sondervermögen.</w:t>
      </w:r>
    </w:p>
    <w:p>
      <w:r>
        <w:rPr>
          <w:color w:val="555555"/>
          <w:sz w:val="17"/>
        </w:rPr>
        <w:t xml:space="preserve">Zitiervorschlag: Art 113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