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BayHO (Bayern) — Vollständigkeit und Einheit, Fälligkeitsprinzip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jedes Haushaltsjahr ist ein Haushaltsplan aufzustellen.</w:t>
      </w:r>
    </w:p>
    <w:p>
      <w:r>
        <w:t xml:space="preserve">(2) Der Haushaltsplan enthält alle im Haushaltsjahr</w:t>
      </w:r>
    </w:p>
    <w:p>
      <w:r>
        <w:t xml:space="preserve">1. zu erwartenden Einnahmen,</w:t>
      </w:r>
    </w:p>
    <w:p>
      <w:r>
        <w:t xml:space="preserve">2. voraussichtlich zu leistenden Ausgaben und</w:t>
      </w:r>
    </w:p>
    <w:p>
      <w:r>
        <w:t xml:space="preserve">3. voraussichtlich benötigten Verpflichtungsermächtigungen.</w:t>
      </w:r>
    </w:p>
    <w:p>
      <w:r>
        <w:t xml:space="preserve">(3) Der Haushalt ist in Einnahme und Ausgabe auszugleichen.</w:t>
      </w:r>
    </w:p>
    <w:p>
      <w:r>
        <w:rPr>
          <w:color w:val="555555"/>
          <w:sz w:val="17"/>
        </w:rPr>
        <w:t xml:space="preserve">Zitiervorschlag: Art 11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