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BayHLeistBV (Bayern)</w:t>
      </w:r>
    </w:p>
    <w:p>
      <w:r>
        <w:rPr>
          <w:color w:val="555555"/>
          <w:sz w:val="18"/>
        </w:rPr>
        <w:t xml:space="preserve">Bayerische Hochschulleistungsbezügeverordnung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74, 99 Abs. 1 Satz 1 und Art. 107 Abs. 5 Satz 3 des Bayerischen Besoldungsgesetzes (BayBesG) vom 5. August 2010 (GVBl S. 410, ber. S. 764, BayRS 2032-1-1-F) erlässt das Bayerische Staatsministerium für Wissenschaft, Forschung und Kunst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BayHLeistBV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https://recht.nulegal.eu/gesetze/BayHLeistBV/eingangsformel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