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93 BayHIG (Bayern) — Rückmeldung und Beurlaubung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Studierenden melden sich zu jedem Semester form- und fristgerecht zum Weiterstudium an (Rückmeldung).</w:t>
      </w:r>
    </w:p>
    <w:p>
      <w:r>
        <w:t xml:space="preserve">(2) Studierende können von der Hochschule auf Antrag von der Verpflichtung zu einem ordnungsgemäßen Studium befreit werden (Beurlaubung).</w:t>
      </w:r>
    </w:p>
    <w:p>
      <w:r>
        <w:t xml:space="preserve">(3) Während der Beurlaubung können Studienleistungen nicht erbracht und Prüfungen an der Hochschule, an der die Beurlaubung erfolgt ist, nicht abgelegt werden. Eine Wiederholung nicht bestandener Prüfungen ist möglich. Satz 1 gilt nicht, wenn die Beurlaubung aufgrund der Inanspruchnahme von Schutzfristen entsprechend dem Mutterschutzgesetz, der Betreuung und Erziehung eines Kindes entsprechend dem Bundeselterngeld- und Elternzeitgesetz oder der Pflege eines nahen Angehörigen entsprechend dem Pflegezeitgesetz erfolgt.</w:t>
      </w:r>
    </w:p>
    <w:p>
      <w:r>
        <w:rPr>
          <w:color w:val="555555"/>
          <w:sz w:val="17"/>
        </w:rPr>
        <w:t xml:space="preserve">Zitiervorschlag: Art 93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https://recht.nulegal.eu/gesetze/BayHIG/93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