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47 BayHIG (Bayern) — Allgemeine Bestimmungen für die Mitwirkung in der Selbstverwaltung</w:t>
      </w:r>
    </w:p>
    <w:p>
      <w:r>
        <w:rPr>
          <w:color w:val="555555"/>
          <w:sz w:val="18"/>
        </w:rPr>
        <w:t xml:space="preserve">Bayerisches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Mitglieder eines Gremiums werden, soweit sie dem Gremium nicht kraft Amtes angehören, für eine bestimmte Amtszeit bestellt oder gewählt; sie sind an Weisungen nicht gebunden.</w:t>
      </w:r>
    </w:p>
    <w:p>
      <w:r>
        <w:t xml:space="preserve">(2) Professorinnen und Professoren, die aufgrund einer Regelung nach Art. 41 Abs. 1 Satz 2 Nr. 2 oder nach Art. 98 Abs. 8 mitwirkungsberechtigt sind, werden bei der Bestimmung der Mehrheit insoweit berücksichtigt, als sie mitgewirkt haben.</w:t>
      </w:r>
    </w:p>
    <w:p>
      <w:r>
        <w:rPr>
          <w:color w:val="555555"/>
          <w:sz w:val="17"/>
        </w:rPr>
        <w:t xml:space="preserve">Zitiervorschlag: Art 47 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https://recht.nulegal.eu/gesetze/BayHIG/47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