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130g BayHIG (Bayern) — Bewirtschaftung der Mittel</w:t>
      </w:r>
    </w:p>
    <w:p>
      <w:r>
        <w:rPr>
          <w:color w:val="555555"/>
          <w:sz w:val="18"/>
        </w:rPr>
        <w:t xml:space="preserve">Bayerisches Hochschulinnovationsgesetz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Voraussetzungen für die Bewirtschaftung der Mittel nach Art. 11 Abs. 1 Satz 1 Nr. 1 Buchst. b im Rahmen eines Haushalts mit verdichteter Titelstruktur müssen diejenigen Hochschulen, für die der Staatshaushalt 2023 keine verdichtete Titelstruktur vorsieht, bis spätestens 31. Dezember 2023 herbeiführen.</w:t>
      </w:r>
    </w:p>
    <w:p>
      <w:r>
        <w:rPr>
          <w:color w:val="555555"/>
          <w:sz w:val="17"/>
        </w:rPr>
        <w:t xml:space="preserve">Zitiervorschlag: Art 130g BayHIG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https://recht.nulegal.eu/gesetze/BayHIG/130g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