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BayHIG (Bayern) — Finanzierung, Innovationsfonds</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stellt den Hochschulen zur Durchführung ihrer Aufgaben im Rahmen des Art. 4 Abs. 2</w:t>
      </w:r>
    </w:p>
    <w:p>
      <w:r>
        <w:t xml:space="preserve">1. nach Maßgabe des Staatshaushalts</w:t>
      </w:r>
    </w:p>
    <w:p>
      <w:r>
        <w:t xml:space="preserve">a) Stellen und</w:t>
      </w:r>
    </w:p>
    <w:p>
      <w:r>
        <w:t xml:space="preserve">b) im Rahmen eines Haushalts mit verdichteter Titelstruktur Mittel sowie</w:t>
      </w:r>
    </w:p>
    <w:p>
      <w:r>
        <w:t xml:space="preserve">2. staatliche Liegenschaften und Gegenstände zur unentgeltlichen Nutzung</w:t>
      </w:r>
    </w:p>
    <w:p>
      <w:r>
        <w:t xml:space="preserve">zur Verfügung. Der Freistaat Bayern kann im Rahmen des staatlichen Immobilienmanagements weitere Grundstücke erwerben und den Hochschulen im Rahmen des Art. 4 Abs. 2 zur unentgeltlichen Nutzung überlassen. Die Zuweisung der Stellen und Mittel orientiert sich an dem zur Erfüllung der Aufgaben nach den Art. 2 und 3 erforderlichen Bedarf und an den in Forschung und Lehre sowie bei der Förderung des wissenschaftlichen und künstlerischen Nachwuchses erbrachten Leistungen. Dabei sind auch Fortschritte bei der Erfüllung des Gleichstellungsauftrages zu berücksichtigen. Am Ende des Haushaltsjahres nicht verbrauchte Mittel, ausgenommen die Mittel für gemeinsam bewirtschaftete Personalausgaben für das an den Stellenplan gebundene Personal und für Große Baumaßnahmen, stehen der Hochschule zur Erfüllung ihrer Aufgaben grundsätzlich überjährig zur Verfügung. Bei verschlechterter Haushaltssituation kann die Staatsregierung mit Zustimmung des Landtags am Ende des Haushaltsjahres nicht verbrauchte Mittel einziehen.</w:t>
      </w:r>
    </w:p>
    <w:p>
      <w:r>
        <w:t xml:space="preserve">(2) Die Hochschulen tragen zur Finanzierung ihrer Aufgaben</w:t>
      </w:r>
    </w:p>
    <w:p>
      <w:r>
        <w:t xml:space="preserve">1. durch Einwerbung von Mitteln Dritter und durch sonstige Einnahmen sowie</w:t>
      </w:r>
    </w:p>
    <w:p>
      <w:r>
        <w:t xml:space="preserve">2. mit ihrem Körperschaftsvermögen und durch unentgeltliche Bereitstellung körperschaftseigener Liegenschaften</w:t>
      </w:r>
    </w:p>
    <w:p>
      <w:r>
        <w:t xml:space="preserve">bei. Von der Hochschule im Rahmen von Art. 4 Abs. 2 und durch die Erhebung von Gebühren und Entgelten erzielte Einnahmen stehen dieser zur Verwendung für Hochschulzwecke zur Verfügung.</w:t>
      </w:r>
    </w:p>
    <w:p>
      <w:r>
        <w:t xml:space="preserve">(3) Die Hochschule bewirtschaftet nach Art. 4 Abs. 2 die Stellen und Mittel im Rahmen des Staatshaushalts auf der Grundlage der für die Haushalts- und Wirtschaftsführung geltenden staatlichen Vorschriften, soweit nichts anderes bestimmt ist; die Regelungen über das Körperschaftsvermögen bleiben unberührt. Für die Veranschlagung von Planstellen und anderen Stellen im staatlichen Haushaltsplan gilt Art. 17 BayHO; sind die Hochschulen bei den anderen Stellen bei der Bewirtschaftung der Personalausgaben nicht an die Stellenpläne gebunden, soll ein pauschaler mengenmäßiger Ausweis dieser Stellen erfolgen. Der Hochschule kann durch das Staatsministerium in bestimmtem Umfang und nach Maßgabe des Staatshaushalts die Beschäftigung von Arbeitnehmerinnen und Arbeitnehmern mit unbefristeten Arbeitsverträgen zu Lasten von Mitteln gestattet werden; die Hochschule hat bei Wegfall der Mittel die Anschlussfinanzierung sicherzustellen. Die Aufnahme von Krediten zur Deckung der Ausgaben sowie die Übernahme von Bürgschaften oder Garantien sind ausgeschlossen. Bei ihrer Wirtschaftsführung berücksichtigt die Hochschule die Grundsätze der Wirtschaftlichkeit und Sparsamkeit. Zum Nachweis der wirtschaftlichen Verwendung der Stellen und Mittel setzt die Hochschule ein Controlling ein, das die Kosten- und Leistungsrechnung sowie grundsätzlich eine Kennzahlsteuerung und ein Berichtswesen umfasst.</w:t>
      </w:r>
    </w:p>
    <w:p>
      <w:r>
        <w:t xml:space="preserve">(4) Die Hochschulleitung überprüft auch im Lichte der Hochschulverträge nach Art. 8 Abs. 2 regelmäßig den Ressourceneinsatz, insbesondere die Zuordnung von Stellen und Mitteln auf ihre Organisationseinheiten nach Art. 29 Abs. 3 zur Weiterentwicklung des Hochschulprofils und zur Stärkung der Innovationskraft. Aus den dadurch frei gemachten Ressourcen wird von der Hochschulleitung ein Innovationsfonds eingerichtet und gespeist, mit dem eigene strategische Schwerpunktsetzungen der Hochschule, Erfordernisse aufgrund unvorhersehbarer Entwicklungen und die Beteiligung an staatlichen Programmen und Initiativen („Matching“) unterstützt werden können.</w:t>
      </w:r>
    </w:p>
    <w:p>
      <w:r>
        <w:rPr>
          <w:color w:val="555555"/>
          <w:sz w:val="17"/>
        </w:rPr>
        <w:t xml:space="preserve">Zitiervorschlag: Art 11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