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104 BayHIG (Bayern) — Kosten der Anerkennung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Erteilung und die Aufrechterhaltung der staatlichen Anerkennung werden Gebühren erhoben. Sie umfassen auch die Auslagen des Staatsministeriums für die Verfahren nach Art. 103 Abs. 1 einschließlich etwa anfallender Umsatzsteuer. Hierfür kann eine Vorausleistung auf die Gebühren und Auslagen erhoben werden. Die Durchführung der Verfahren kann von der Vorausleistung abhängig gemacht werden.</w:t>
      </w:r>
    </w:p>
    <w:p>
      <w:r>
        <w:t xml:space="preserve">(2) Die Gebühren trägt der Träger der nichtstaatlichen Hochschule.</w:t>
      </w:r>
    </w:p>
    <w:p>
      <w:r>
        <w:rPr>
          <w:color w:val="555555"/>
          <w:sz w:val="17"/>
        </w:rPr>
        <w:t xml:space="preserve">Zitiervorschlag: Art 104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https://recht.nulegal.eu/gesetze/BayHIG/104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