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BayHGV (Bayern)</w:t>
      </w:r>
    </w:p>
    <w:p>
      <w:r>
        <w:rPr>
          <w:color w:val="555555"/>
          <w:sz w:val="18"/>
        </w:rPr>
        <w:t xml:space="preserve">Verordnung über das Haus der Bayerischen Geschichte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11. Mai 1985</w:t>
      </w:r>
    </w:p>
    <w:p>
      <w:r>
        <w:t xml:space="preserve">Der Bayerische Ministerpräsident</w:t>
      </w:r>
    </w:p>
    <w:p>
      <w:r>
        <w:t xml:space="preserve">Franz Josef Strauß</w:t>
      </w:r>
    </w:p>
    <w:p>
      <w:r>
        <w:rPr>
          <w:color w:val="555555"/>
          <w:sz w:val="17"/>
        </w:rPr>
        <w:t xml:space="preserve">Zitiervorschlag: Schlussformel BayHGV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https://recht.nulegal.eu/gesetze/BayHGV/schlussformel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