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BayHGV (Bayern)</w:t>
      </w:r>
    </w:p>
    <w:p>
      <w:r>
        <w:rPr>
          <w:color w:val="555555"/>
          <w:sz w:val="18"/>
        </w:rPr>
        <w:t xml:space="preserve">Verordnung über das Haus der Bayerischen Geschichte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43 Abs. 1, Art. 53 Satz 2 , Art. 55 Nrn. 2 und 5 Satz 1 und Art. 77 Abs. 1 Satz 2 der Verfassung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BayHGV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