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BayHGV (Bayern)</w:t>
      </w:r>
    </w:p>
    <w:p>
      <w:r>
        <w:rPr>
          <w:color w:val="555555"/>
          <w:sz w:val="18"/>
        </w:rPr>
        <w:t xml:space="preserve">Verordnung über das Haus der Bayerischen Geschichte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Juni 1985 in Kraft.</w:t>
      </w:r>
    </w:p>
    <w:p>
      <w:r>
        <w:t xml:space="preserve">(2) Gleichzeitig tritt die Bekanntmachung des Bayerischen Ministerpräsidenten über das Haus der Bayerischen Geschichte vom 16. Dezember 1982 (StAnz Nr. 51) außer Kraft.</w:t>
      </w:r>
    </w:p>
    <w:p>
      <w:r>
        <w:rPr>
          <w:color w:val="555555"/>
          <w:sz w:val="17"/>
        </w:rPr>
        <w:t xml:space="preserve">Zitiervorschlag: § 7 BayHGV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https://recht.nulegal.eu/gesetze/BayHGV/7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