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BayHGV (Bayern)</w:t>
      </w:r>
    </w:p>
    <w:p>
      <w:r>
        <w:rPr>
          <w:color w:val="555555"/>
          <w:sz w:val="18"/>
        </w:rPr>
        <w:t xml:space="preserve">Verordnung über das Haus der Bayerischen Geschichte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Beim Haus der Bayerischen Geschichte wird ein Beirat errichtet.</w:t>
      </w:r>
    </w:p>
    <w:p>
      <w:r>
        <w:t xml:space="preserve">(2) Die Mitglieder werden vom Staatsminister für die Dauer von fünf Jahren berufen.</w:t>
      </w:r>
    </w:p>
    <w:p>
      <w:r>
        <w:rPr>
          <w:color w:val="555555"/>
          <w:sz w:val="17"/>
        </w:rPr>
        <w:t xml:space="preserve">Zitiervorschlag: § 5 BayHGV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https://recht.nulegal.eu/gesetze/BayHGV/5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