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BayHGV (Bayern)</w:t>
      </w:r>
    </w:p>
    <w:p>
      <w:r>
        <w:rPr>
          <w:color w:val="555555"/>
          <w:sz w:val="18"/>
        </w:rPr>
        <w:t xml:space="preserve">Verordnung über das Haus der Bayerischen Geschichte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Haus der Bayerischen Geschichte hat die Aufgabe,</w:t>
      </w:r>
    </w:p>
    <w:p>
      <w:r>
        <w:t xml:space="preserve">1. die geschichtliche und kulturelle Vielfalt Bayerns allen Bevölkerungsschichten, vor allem der jungen Generation, in allen Landesteilen zugänglich zu machen,</w:t>
      </w:r>
    </w:p>
    <w:p>
      <w:r>
        <w:t xml:space="preserve">2. die Gesamtstaatlichkeit Bayerns und die Entwicklung von Staat und Gesellschaft bis zur Gegenwart im historisch-politisch-kulturellen Rahmen darzustellen,</w:t>
      </w:r>
    </w:p>
    <w:p>
      <w:r>
        <w:t xml:space="preserve">3. das Geschichtsbewußtsein zu fördern und zu pflegen und dadurch das geschichtliche Erbe für die Zukunft des Freistaates Bayern im deutschen und europäischen Rahmen fruchtbar zu machen.</w:t>
      </w:r>
    </w:p>
    <w:p>
      <w:r>
        <w:t xml:space="preserve">(2) Diese Aufgaben werden vor allem durch Ausstellungen am Sitz des Hauses der Bayerischen Geschichte und in allen Landesteilen, Veröffentlichungen, Vorträge, Filmdokumentationen und die Erstellung eines Bildarchivs zur bayerischen Geschichte erfüllt.</w:t>
      </w:r>
    </w:p>
    <w:p>
      <w:r>
        <w:rPr>
          <w:color w:val="555555"/>
          <w:sz w:val="17"/>
        </w:rPr>
        <w:t xml:space="preserve">Zitiervorschlag: § 2 BayHGV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https://recht.nulegal.eu/gesetze/BayHGV/2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