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BayHGV (Bayern)</w:t>
      </w:r>
    </w:p>
    <w:p>
      <w:r>
        <w:rPr>
          <w:color w:val="555555"/>
          <w:sz w:val="18"/>
        </w:rPr>
        <w:t xml:space="preserve">Verordnung über das Haus der Bayerischen Geschichte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Haus der Bayerischen Geschichte untersteht dem Staatsminister für Wissenschaft und Kunst (Staatsminister) und ist dem Staatsministerium für Wissenschaft und Kunst (Staatsministerium) eingegliedert.</w:t>
      </w:r>
    </w:p>
    <w:p>
      <w:r>
        <w:t xml:space="preserve">(2) Das Haus der Bayerischen Geschichte hat seinen Sitz in Augsburg.</w:t>
      </w:r>
    </w:p>
    <w:p>
      <w:r>
        <w:rPr>
          <w:color w:val="555555"/>
          <w:sz w:val="17"/>
        </w:rPr>
        <w:t xml:space="preserve">Zitiervorschlag: § 1 BayHGV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