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Eingangsformel BayHärteV (Bayern)</w:t>
      </w:r>
    </w:p>
    <w:p>
      <w:r>
        <w:rPr>
          <w:color w:val="555555"/>
          <w:sz w:val="18"/>
        </w:rPr>
        <w:t xml:space="preserve">Härteausgleichsverordnung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19a Abs. 11 des Kommunalabgabengesetzes (KAG) in der Fassung der Bekanntmachung vom 4. April 1993 (GVBl. S. 264, BayRS 2024-1-I), das zuletzt durch Art. 8a des Gesetzes vom 24. Mai 2019 (GVBl. S. 266) geändert worden ist, verordnet das Bayerische Staatsministerium des Innern, für Sport und Integration im Einvernehmen mit dem Bayerischen Staatsministerium für Wirtschaft, Landesentwicklung und Energie:</w:t>
      </w:r>
    </w:p>
    <w:p>
      <w:r>
        <w:rPr>
          <w:color w:val="555555"/>
          <w:sz w:val="17"/>
        </w:rPr>
        <w:t xml:space="preserve">Zitiervorschlag: Eingangsformel BayHärteV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https://recht.nulegal.eu/gesetze/BayH%C3%A4rteV/eingangsformel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Eingangsformel BayHärteV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