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BayGutfrKastGDV (Bayern)</w:t>
      </w:r>
    </w:p>
    <w:p>
      <w:r>
        <w:rPr>
          <w:color w:val="555555"/>
          <w:sz w:val="18"/>
        </w:rPr>
        <w:t xml:space="preserve">Verordnung zur Durchführung des Gesetzes über die Gutachterstelle für die freiwillige Kastration und andere Behandlungsmethoden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7 des Gesetzes über die Gutachterstelle für die freiwillige Kastration und andere Behandlungsmethoden erläßt das Staatsministerium des Innern im Einvernehmen mit dem Staatsministerium der Justiz folgende Verordnung:</w:t>
      </w:r>
    </w:p>
    <w:p>
      <w:r>
        <w:rPr>
          <w:color w:val="555555"/>
          <w:sz w:val="17"/>
        </w:rPr>
        <w:t xml:space="preserve">Zitiervorschlag: Eingangsformel BayGutfrKastGDV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https://recht.nulegal.eu/gesetze/BayGutfrKastGDV/eingangsformel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