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7 BayGutfrKastGDV (Bayern) — Form, Inhalt und Zustellung der Entscheidung</w:t>
      </w:r>
    </w:p>
    <w:p>
      <w:r>
        <w:rPr>
          <w:color w:val="555555"/>
          <w:sz w:val="18"/>
        </w:rPr>
        <w:t xml:space="preserve">Verordnung zur Durchführung des Gesetzes über die Gutachterstelle für die freiwillige Kastration und andere Behandlungsmethoden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(1) Die Bestätigung oder Ablehnung ergeht schriftlich. Sie ist zu begründen, vom Vorsitzenden und den übrigen Mitgliedern der Gutachterstelle zu unterzeichnen, dem Antragsteller zuzustellen und den übrigen Antragsberechtigten mitzuteilen.</w:t>
      </w:r>
    </w:p>
    <w:p>
      <w:r>
        <w:t xml:space="preserve">(2) Die Bestätigung hat auch zu enthalten</w:t>
      </w:r>
    </w:p>
    <w:p>
      <w:r>
        <w:t xml:space="preserve">1. den Zeitpunkt, an dem sie unwirksam wird;</w:t>
      </w:r>
    </w:p>
    <w:p>
      <w:r>
        <w:t xml:space="preserve">2. bei Betroffenen, die auf richterliche Anordnung in einer Anstalt untergebracht sind, den Hinweis, daß sie durch die Kastration oder andere Behandlung keinen Anspruch auf vorzeitige Entlassung haben;</w:t>
      </w:r>
    </w:p>
    <w:p>
      <w:r>
        <w:t xml:space="preserve">3. soweit erforderlich, den Hinweis, daß eine ärztliche Nachuntersuchung innerhalb einer zu bestimmenden Frist nach der Kastration ratsam ist.</w:t>
      </w:r>
    </w:p>
    <w:p>
      <w:r>
        <w:rPr>
          <w:color w:val="555555"/>
          <w:sz w:val="17"/>
        </w:rPr>
        <w:t xml:space="preserve">Zitiervorschlag: § 7 BayGutfrKastGDV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https://recht.nulegal.eu/gesetze/BayGutfrKastGDV/7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