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BayGutfrKastGDV (Bayern) — Entscheidung der Gutachterstelle</w:t>
      </w:r>
    </w:p>
    <w:p>
      <w:r>
        <w:rPr>
          <w:color w:val="555555"/>
          <w:sz w:val="18"/>
        </w:rPr>
        <w:t xml:space="preserve">Verordnung zur Durchführung des Gesetzes über die Gutachterstelle für die freiwillige Kastration und andere Behandlungsmethoden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Sind die Ermittlungen abgeschlossen und liegen die Voraussetzungen nach § 2 Abs. 1 Nrn. 1 und 3 des Kastrationsgesetzes vor, so bestimmt die Regierung den Termin für eine Sitzung und veranlaßt die Ladung der übrigen Mitglieder.</w:t>
      </w:r>
    </w:p>
    <w:p>
      <w:r>
        <w:t xml:space="preserve">(2) (gegenstandslos) Die Gutachterstelle ist beschlußfähig, wenn alle Mitglieder anwesend oder vertreten sind. Hat ein stellvertretendes Mitglied den Betroffenen untersucht und nach § 3 Abs. 1, 3 oder 4 des Kastrationsgesetzes aufgeklärt, so wirkt es bei der Entscheidung an Stelle des Vertretenen mit.</w:t>
      </w:r>
    </w:p>
    <w:p>
      <w:r>
        <w:t xml:space="preserve">(3) Hält der Vorsitzende die mündliche Beratung für entbehrlich, weil die Voraussetzungen der §§ 2 und 3 des Kastrationsgesetzes offensichtlich nicht vorliegen, so kann, wenn die übrigen Mitglieder damit einverstanden sind, im Weg der schriftlichen Umfrage Beschluß gefaßt werden.</w:t>
      </w:r>
    </w:p>
    <w:p>
      <w:r>
        <w:t xml:space="preserve">[Amtl. Anm.:] BGBl. FN 453-16</w:t>
      </w:r>
    </w:p>
    <w:p>
      <w:r>
        <w:rPr>
          <w:color w:val="555555"/>
          <w:sz w:val="17"/>
        </w:rPr>
        <w:t xml:space="preserve">Zitiervorschlag: § 6 BayGutfrKastGDV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https://recht.nulegal.eu/gesetze/BayGutfrKastGDV/6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