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BayGutfrKastGDV (Bayern) — Ermittlungen</w:t>
      </w:r>
    </w:p>
    <w:p>
      <w:r>
        <w:rPr>
          <w:color w:val="555555"/>
          <w:sz w:val="18"/>
        </w:rPr>
        <w:t xml:space="preserve">Verordnung zur Durchführung des Gesetzes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Vorsitzende bestimmt ein Mitglied, das den Betroffenen untersucht und nach § 3 Abs. 1, 3 oder 4 des Kastrationsgesetzes vom 15.August 1969 (BGBl. I S. 1143) aufklärt. Ist es für die Entscheidung der Gutachterstelle notwendig, so kann er die Untersuchung durch ein weiteres Mitglied anordnen. Über die Aufklärung des Betroffenen ist eine Niederschrift aufzunehmen.</w:t>
      </w:r>
    </w:p>
    <w:p>
      <w:r>
        <w:t xml:space="preserve">(2) Der Vorsitzende veranlaßt alle für die Entscheidung der Gutachterstelle notwendigen Ermittlungen. Er kann insbesondere die über den Betroffenen in Gerichts- und Verwaltungsverfahren angefallenen Akten heranziehen und Sachverständige zuziehen.</w:t>
      </w:r>
    </w:p>
    <w:p>
      <w:r>
        <w:t xml:space="preserve">(3) Ergeben die Ermittlungen, daß eine der Voraussetzungen nach § 2 Abs. 1 Nrn. 1 oder 3 des Kastrationsgesetzes nicht vorliegt, so ist das Verfahren einzustellen.</w:t>
      </w:r>
    </w:p>
    <w:p>
      <w:r>
        <w:t xml:space="preserve">[Amtl. Anm.:] BGBl. FN 453-16</w:t>
      </w:r>
    </w:p>
    <w:p>
      <w:r>
        <w:rPr>
          <w:color w:val="555555"/>
          <w:sz w:val="17"/>
        </w:rPr>
        <w:t xml:space="preserve">Zitiervorschlag: § 3 BayGutfrKastGDV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