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BayGutfrKastGDV (Bayern) — Sitz der Gutachterstelle</w:t>
      </w:r>
    </w:p>
    <w:p>
      <w:r>
        <w:rPr>
          <w:color w:val="555555"/>
          <w:sz w:val="18"/>
        </w:rPr>
        <w:t xml:space="preserve">Verordnung zur Durchführung des Gesetzes über die Gutachterstelle für die freiwillige Kastration und andere Behandlungsmethoden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Gutachterstelle nach Art. 1 des Gesetzes über die Gutachterstelle für die freiwillige Kastration und andere Behandlungsmethoden hat ihren Sitz in München.</w:t>
      </w:r>
    </w:p>
    <w:p>
      <w:r>
        <w:t xml:space="preserve">[Amtl. Anm.:] BayRS 2120-5-I</w:t>
      </w:r>
    </w:p>
    <w:p>
      <w:r>
        <w:rPr>
          <w:color w:val="555555"/>
          <w:sz w:val="17"/>
        </w:rPr>
        <w:t xml:space="preserve">Zitiervorschlag: § 1 BayGutfrKastGDV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https://recht.nulegal.eu/gesetze/BayGutfrKastGDV/1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