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BayGrStG (Bayern) — Ergänzende Regelungen</w:t>
      </w:r>
    </w:p>
    <w:p>
      <w:r>
        <w:rPr>
          <w:color w:val="555555"/>
          <w:sz w:val="18"/>
        </w:rPr>
        <w:t xml:space="preserve">Bayerisches Grundsteuergesetz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Hofstelle nach § 234 Abs. 6 BewG gehören auch Hof- und Wirtschaftsgebäudeflächen einschließlich der Nebenflächen, von denen aus keine Flächen eines Betriebs der Land- und Forstwirtschaft mehr nachhaltig bewirtschaftet werden, wenn sie keine Zweckbestimmung erhalten haben, die zu einer zwingenden Zuordnung zum Grundvermögen führt.</w:t>
      </w:r>
    </w:p>
    <w:p>
      <w:r>
        <w:t xml:space="preserve">(2) Art. 1 Abs. 4 Satz 1 gilt für Betriebe der Land- und Forstwirtschaft entsprechend. In einen Betrieb der Land- und Forstwirtschaft, der von einer Gesellschaft oder Gemeinschaft des bürgerlichen Rechts betrieben wird, sind auch die Wirtschaftsgüter einzubeziehen, die einem oder mehreren Beteiligten gehören und dem Betrieb zu dienen bestimmt sind. In den Betrieb der Land- und Forstwirtschaft sind auch einzubeziehen</w:t>
      </w:r>
    </w:p>
    <w:p>
      <w:r>
        <w:t xml:space="preserve">1. der Eigentümerin oder dem Eigentümer des Grund und Bodens nicht gehörende Gebäude, die auf dem Grund und Boden des Betriebs stehen,</w:t>
      </w:r>
    </w:p>
    <w:p>
      <w:r>
        <w:t xml:space="preserve">2. der Eigentümerin oder dem Eigentümer des Grund und Bodens nicht gehörende Betriebsmittel, die der Bewirtschaftung des Betriebs dienen, und</w:t>
      </w:r>
    </w:p>
    <w:p>
      <w:r>
        <w:t xml:space="preserve">3. ein Anteil der Eigentümerin oder des Eigentümers des Betriebs der Land- und Forstwirtschaft an einem Wirtschaftsgut, wenn es mit dem Betrieb zusammen genutzt wird.</w:t>
      </w:r>
    </w:p>
    <w:p>
      <w:r>
        <w:t xml:space="preserve">(3) Eine Fläche verliert ihre Zugehörigkeit zu einem land- und forstwirtschaftlichen Betrieb nicht dadurch, dass sie für Photovoltaik genutzt wird, sofern die land- und forstwirtschaftliche Nutzung dieser Fläche nicht dauerhaft aufgegeben werden soll.</w:t>
      </w:r>
    </w:p>
    <w:p>
      <w:r>
        <w:t xml:space="preserve">(4) Art. 6 Abs. 5 und 6, Art. 7 Abs. 2 Satz 3 bis 5, gelten für Betriebe der Land- und Forstwirtschaft entsprechend.</w:t>
      </w:r>
    </w:p>
    <w:p>
      <w:r>
        <w:rPr>
          <w:color w:val="555555"/>
          <w:sz w:val="17"/>
        </w:rPr>
        <w:t xml:space="preserve">Zitiervorschlag: Art 9 BayGrStG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https://recht.nulegal.eu/gesetze/BayGrStG/9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