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BayGrStG (Bayern) — Veranlagungsverfahren</w:t>
      </w:r>
    </w:p>
    <w:p>
      <w:r>
        <w:rPr>
          <w:color w:val="555555"/>
          <w:sz w:val="18"/>
        </w:rPr>
        <w:t xml:space="preserve">Bayerisches Grundsteuergesetz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Grundsteuermessbeträge werden auf den 1. Januar 2025 allgemein festgesetzt (Hauptveranlagung). Der Grundsteuermessbetrag wird auch dann neu festgesetzt, wenn dem Finanzamt bekannt wird, dass die letzte Veranlagung fehlerhaft ist. Der Grundsteuermessbetrag wird auch dann neu festgesetzt, wenn der Grundsteuermessbetrag, der sich für den Beginn eines Kalenderjahres ergibt, von dem entsprechenden Betrag des letzten Festsetzungszeitpunkts nach unten abweicht. Dasselbe gilt, wenn sein auf den Grund und Boden entfallender Anteil abweicht oder sein auf das Gebäude entfallender Anteil um mehr als 5 € nach oben abweicht. Im Übrigen gelten die Vorschriften des Grundsteuergesetzes über die Neuveranlagung, Nachveranlagung, Aufhebung und Zerlegung des Grundsteuermessbetrags und die Änderung des Grundsteuermessbescheids sinngemäß.</w:t>
      </w:r>
    </w:p>
    <w:p>
      <w:r>
        <w:t xml:space="preserve">(2) Änderungen der Nutzung hat derjenige anzuzeigen, dem der Steuergegenstand zuzurechnen ist. Satz 1 gilt für den Wegfall der Voraussetzungen für die ermäßigten Grundsteuermesszahlen nach Art. 4 Abs. 2 bis 4 entsprechend. § 19 Abs. 1 Satz 1 GrStG bleibt unberührt. Abweichend von § 19 Abs. 1 Satz 2 und Abs. 2 Satz 2 GrStG ist die Anzeige nach den Sätzen 1 bis 3 bis zum 31. März des Jahres abzugeben, das auf das Jahr folgt, in dem sich die Verhältnisse geändert haben. Art. 6 Abs. 6 gilt entsprechend.</w:t>
      </w:r>
    </w:p>
    <w:p>
      <w:r>
        <w:rPr>
          <w:color w:val="555555"/>
          <w:sz w:val="17"/>
        </w:rPr>
        <w:t xml:space="preserve">Zitiervorschlag: Art 7 BayGrStG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https://recht.nulegal.eu/gesetze/BayGrStG/7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