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BayGrStG (Bayern) — Feststellung der Äquivalenzbeträge</w:t>
      </w:r>
    </w:p>
    <w:p>
      <w:r>
        <w:rPr>
          <w:color w:val="555555"/>
          <w:sz w:val="18"/>
        </w:rPr>
        <w:t xml:space="preserve">Bayerisches Grundsteuergesetz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Äquivalenzbeträge werden auf den 1. Januar 2022 allgemein festgestellt (Hauptfeststellung). Abweichend von § 221 BewG findet keine turnusmäßige Hauptfeststellung statt. Bei der Ermittlung der Äquivalenzbeträge ist § 163 der Abgabenordnung (AO) nicht anzuwenden.</w:t>
      </w:r>
    </w:p>
    <w:p>
      <w:r>
        <w:t xml:space="preserve">(2) In dem Feststellungsbescheid für die Äquivalenzbeträge der Grundstücke sind auch Feststellungen zu treffen über die Fläche von Grund und Boden und die Gebäudeflächen. Abweichend von § 219 Abs. 2 Nr. 1 BewG wird die Grundstücksart der wirtschaftlichen Einheit nicht festgestellt. Feststellungen erfolgen nur, wenn und soweit sie für die Besteuerung von Bedeutung sind. Der Feststellungsbescheid kann mit dem nachfolgenden Grundsteuermessbescheid verbunden und zusammengefasst bekannt gegeben werden.</w:t>
      </w:r>
    </w:p>
    <w:p>
      <w:r>
        <w:t xml:space="preserve">(3) Die Äquivalenzbeträge (Betragsfortschreibung) und die Flächen (Flächenfortschreibung) werden neu festgestellt, wenn ein Äquivalenzbetrag oder eine Fläche von der zuletzt getroffenen Feststellung abweicht und es für die Besteuerung von Bedeutung ist. Eine Fortschreibung nach Satz 1 findet auch zur Beseitigung eines Fehlers der letzten Feststellung statt.</w:t>
      </w:r>
    </w:p>
    <w:p>
      <w:r>
        <w:t xml:space="preserve">(4) Für die Äquivalenzbeträge nach diesem Gesetz gelten die Vorschriften des Bewertungsgesetzes über die Fortschreibung, Nachfeststellung, Aufhebung, Änderung und Nachholung der Feststellung im Übrigen sinngemäß.</w:t>
      </w:r>
    </w:p>
    <w:p>
      <w:r>
        <w:t xml:space="preserve">(5) Die Aufforderung zur Abgabe einer Erklärung mittels Allgemeinverfügung durch öffentliche Bekanntmachung nach § 228 Abs. 1 Satz 3 BewG erfolgt durch das Bayerische Landesamt für Steuern. Abweichend von § 228 Abs. 2 BewG sind die Änderungen der tatsächlichen Verhältnisse, die sich auf die Höhe der Flächen oder der Äquivalenzbeträge auswirken oder zu einer Nachfeststellung oder der Aufhebung der Flächen oder der Äquivalenzbeträge führen können, auf den Beginn des folgenden Kalenderjahres zusammengefasst anzuzeigen. Die Anzeige ist bis zum 31. März des Jahres abzugeben, das auf das Jahr folgt, in dem sich die tatsächlichen Verhältnisse geändert haben. In den Fällen des Art. 1 Abs. 4 Satz 2 ist § 228 Abs. 3 Nr. 1 BewG anzuwenden.</w:t>
      </w:r>
    </w:p>
    <w:p>
      <w:r>
        <w:t xml:space="preserve">(6) Die Erklärung und die Anzeige nach Abs. 5 sind Steuererklärungen im Sinne der Abgabenordnung, die nach amtlich vorgeschriebenem Datensatz durch Datenfernübertragung übermittelt werden sollen.</w:t>
      </w:r>
    </w:p>
    <w:p>
      <w:r>
        <w:rPr>
          <w:color w:val="555555"/>
          <w:sz w:val="17"/>
        </w:rPr>
        <w:t xml:space="preserve">Zitiervorschlag: Art 6 BayGrStG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https://recht.nulegal.eu/gesetze/BayGrStG/6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